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2DEE0" w14:textId="1BF3C81F" w:rsidR="005B7380" w:rsidRDefault="005B7380" w:rsidP="005B7380">
      <w:r>
        <w:rPr>
          <w:noProof/>
        </w:rPr>
        <w:drawing>
          <wp:inline distT="0" distB="0" distL="0" distR="0" wp14:anchorId="319B0670" wp14:editId="6AFEA59B">
            <wp:extent cx="5715000" cy="5207000"/>
            <wp:effectExtent l="0" t="0" r="12700" b="12700"/>
            <wp:docPr id="16638781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8DF2AE1D-683D-FA46-AFE4-652EF3BB1B6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3EEBE64B" w14:textId="50AFCC53" w:rsidR="005B7380" w:rsidRPr="005B7380" w:rsidRDefault="005B7380" w:rsidP="005B7380">
      <w:pPr>
        <w:rPr>
          <w:rFonts w:ascii="Calibri" w:hAnsi="Calibri" w:cs="Calibri"/>
        </w:rPr>
      </w:pPr>
      <w:r w:rsidRPr="005B7380">
        <w:rPr>
          <w:rFonts w:ascii="Calibri" w:hAnsi="Calibri" w:cs="Calibri"/>
        </w:rPr>
        <w:t>The pie chart shows income sources during the 202</w:t>
      </w:r>
      <w:r>
        <w:rPr>
          <w:rFonts w:ascii="Calibri" w:hAnsi="Calibri" w:cs="Calibri"/>
        </w:rPr>
        <w:t>3-24</w:t>
      </w:r>
      <w:r w:rsidRPr="005B7380">
        <w:rPr>
          <w:rFonts w:ascii="Calibri" w:hAnsi="Calibri" w:cs="Calibri"/>
        </w:rPr>
        <w:t xml:space="preserve"> fiscal year that includes contributions and investment income as noted below. In addition, the </w:t>
      </w:r>
      <w:proofErr w:type="spellStart"/>
      <w:r w:rsidRPr="005B7380">
        <w:rPr>
          <w:rFonts w:ascii="Calibri" w:hAnsi="Calibri" w:cs="Calibri"/>
        </w:rPr>
        <w:t>MusicLink</w:t>
      </w:r>
      <w:proofErr w:type="spellEnd"/>
      <w:r w:rsidRPr="005B7380">
        <w:rPr>
          <w:rFonts w:ascii="Calibri" w:hAnsi="Calibri" w:cs="Calibri"/>
        </w:rPr>
        <w:t xml:space="preserve"> </w:t>
      </w:r>
      <w:proofErr w:type="spellStart"/>
      <w:r w:rsidRPr="005B7380">
        <w:rPr>
          <w:rFonts w:ascii="Calibri" w:hAnsi="Calibri" w:cs="Calibri"/>
        </w:rPr>
        <w:t>Foundaton</w:t>
      </w:r>
      <w:proofErr w:type="spellEnd"/>
      <w:r w:rsidRPr="005B7380">
        <w:rPr>
          <w:rFonts w:ascii="Calibri" w:hAnsi="Calibri" w:cs="Calibri"/>
        </w:rPr>
        <w:t xml:space="preserve"> account had a fund balance of $</w:t>
      </w:r>
      <w:r w:rsidR="00D41491">
        <w:rPr>
          <w:rFonts w:ascii="Calibri" w:hAnsi="Calibri" w:cs="Calibri"/>
        </w:rPr>
        <w:t xml:space="preserve">132,204 </w:t>
      </w:r>
      <w:r w:rsidRPr="005B7380">
        <w:rPr>
          <w:rFonts w:ascii="Calibri" w:hAnsi="Calibri" w:cs="Calibri"/>
        </w:rPr>
        <w:t>as of 6/30/2</w:t>
      </w:r>
      <w:r w:rsidR="003B094A">
        <w:rPr>
          <w:rFonts w:ascii="Calibri" w:hAnsi="Calibri" w:cs="Calibri"/>
        </w:rPr>
        <w:t>4</w:t>
      </w:r>
      <w:r w:rsidRPr="005B7380">
        <w:rPr>
          <w:rFonts w:ascii="Calibri" w:hAnsi="Calibri" w:cs="Calibri"/>
        </w:rPr>
        <w:t>.</w:t>
      </w:r>
    </w:p>
    <w:p w14:paraId="7AEE9EF0" w14:textId="77777777" w:rsidR="005B7380" w:rsidRPr="005B7380" w:rsidRDefault="005B7380" w:rsidP="005B7380">
      <w:pPr>
        <w:rPr>
          <w:rFonts w:ascii="Calibri" w:hAnsi="Calibri" w:cs="Calibri"/>
        </w:rPr>
      </w:pPr>
      <w:r w:rsidRPr="005B7380">
        <w:rPr>
          <w:rFonts w:ascii="Calibri" w:hAnsi="Calibri" w:cs="Calibri"/>
        </w:rPr>
        <w:t xml:space="preserve">Contributions to </w:t>
      </w:r>
      <w:proofErr w:type="spellStart"/>
      <w:r w:rsidRPr="005B7380">
        <w:rPr>
          <w:rFonts w:ascii="Calibri" w:hAnsi="Calibri" w:cs="Calibri"/>
        </w:rPr>
        <w:t>MusicLink</w:t>
      </w:r>
      <w:proofErr w:type="spellEnd"/>
      <w:r w:rsidRPr="005B7380">
        <w:rPr>
          <w:rFonts w:ascii="Calibri" w:hAnsi="Calibri" w:cs="Calibri"/>
        </w:rPr>
        <w:t xml:space="preserve"> Foundation:</w:t>
      </w:r>
    </w:p>
    <w:p w14:paraId="2F545945" w14:textId="77777777" w:rsidR="005B7380" w:rsidRPr="005B7380" w:rsidRDefault="005B7380" w:rsidP="005B7380">
      <w:pPr>
        <w:rPr>
          <w:rFonts w:ascii="Calibri" w:hAnsi="Calibri" w:cs="Calibri"/>
        </w:rPr>
      </w:pPr>
      <w:r w:rsidRPr="005B7380">
        <w:rPr>
          <w:rFonts w:ascii="Calibri" w:hAnsi="Calibri" w:cs="Calibri"/>
        </w:rPr>
        <w:t>• Foundation</w:t>
      </w:r>
    </w:p>
    <w:p w14:paraId="51F17E1D" w14:textId="77777777" w:rsidR="005B7380" w:rsidRPr="005B7380" w:rsidRDefault="005B7380" w:rsidP="005B7380">
      <w:pPr>
        <w:rPr>
          <w:rFonts w:ascii="Calibri" w:hAnsi="Calibri" w:cs="Calibri"/>
        </w:rPr>
      </w:pPr>
      <w:r w:rsidRPr="005B7380">
        <w:rPr>
          <w:rFonts w:ascii="Calibri" w:hAnsi="Calibri" w:cs="Calibri"/>
        </w:rPr>
        <w:t>• Corporate</w:t>
      </w:r>
    </w:p>
    <w:p w14:paraId="387FF467" w14:textId="77777777" w:rsidR="005B7380" w:rsidRPr="005B7380" w:rsidRDefault="005B7380" w:rsidP="005B7380">
      <w:pPr>
        <w:rPr>
          <w:rFonts w:ascii="Calibri" w:hAnsi="Calibri" w:cs="Calibri"/>
        </w:rPr>
      </w:pPr>
      <w:r w:rsidRPr="005B7380">
        <w:rPr>
          <w:rFonts w:ascii="Calibri" w:hAnsi="Calibri" w:cs="Calibri"/>
        </w:rPr>
        <w:t>• Individual</w:t>
      </w:r>
    </w:p>
    <w:p w14:paraId="07B9840C" w14:textId="64D405EB" w:rsidR="005B7380" w:rsidRPr="005B7380" w:rsidRDefault="005B7380" w:rsidP="005B7380">
      <w:pPr>
        <w:rPr>
          <w:rFonts w:ascii="Calibri" w:hAnsi="Calibri" w:cs="Calibri"/>
        </w:rPr>
      </w:pPr>
      <w:r w:rsidRPr="005B7380">
        <w:rPr>
          <w:rFonts w:ascii="Calibri" w:hAnsi="Calibri" w:cs="Calibri"/>
        </w:rPr>
        <w:t xml:space="preserve">• Internet </w:t>
      </w:r>
    </w:p>
    <w:p w14:paraId="730B7ABA" w14:textId="77777777" w:rsidR="005B7380" w:rsidRPr="005B7380" w:rsidRDefault="005B7380" w:rsidP="005B7380">
      <w:pPr>
        <w:rPr>
          <w:rFonts w:ascii="Calibri" w:hAnsi="Calibri" w:cs="Calibri"/>
        </w:rPr>
      </w:pPr>
      <w:r w:rsidRPr="005B7380">
        <w:rPr>
          <w:rFonts w:ascii="Calibri" w:hAnsi="Calibri" w:cs="Calibri"/>
        </w:rPr>
        <w:t>• Fund Raising Events</w:t>
      </w:r>
    </w:p>
    <w:p w14:paraId="1A701E85" w14:textId="77777777" w:rsidR="005B7380" w:rsidRPr="005B7380" w:rsidRDefault="005B7380" w:rsidP="005B7380">
      <w:pPr>
        <w:rPr>
          <w:rFonts w:ascii="Calibri" w:hAnsi="Calibri" w:cs="Calibri"/>
        </w:rPr>
      </w:pPr>
      <w:r w:rsidRPr="005B7380">
        <w:rPr>
          <w:rFonts w:ascii="Calibri" w:hAnsi="Calibri" w:cs="Calibri"/>
        </w:rPr>
        <w:t>• In-Kind Instruments</w:t>
      </w:r>
    </w:p>
    <w:p w14:paraId="5A4F8BFD" w14:textId="77777777" w:rsidR="005B7380" w:rsidRPr="005B7380" w:rsidRDefault="005B7380" w:rsidP="005B7380">
      <w:pPr>
        <w:rPr>
          <w:rFonts w:ascii="Calibri" w:hAnsi="Calibri" w:cs="Calibri"/>
        </w:rPr>
      </w:pPr>
      <w:r w:rsidRPr="005B7380">
        <w:rPr>
          <w:rFonts w:ascii="Calibri" w:hAnsi="Calibri" w:cs="Calibri"/>
        </w:rPr>
        <w:t>• Investment income (endowments, stocks, bank accounts)</w:t>
      </w:r>
    </w:p>
    <w:p w14:paraId="7FF2D63B" w14:textId="77777777" w:rsidR="005B7380" w:rsidRDefault="005B7380" w:rsidP="005B7380">
      <w:pPr>
        <w:rPr>
          <w:rFonts w:ascii="Calibri" w:hAnsi="Calibri" w:cs="Calibri"/>
        </w:rPr>
      </w:pPr>
    </w:p>
    <w:p w14:paraId="12B3DF6E" w14:textId="77777777" w:rsidR="005B7380" w:rsidRPr="005B7380" w:rsidRDefault="005B7380" w:rsidP="005B7380">
      <w:pPr>
        <w:spacing w:line="240" w:lineRule="auto"/>
        <w:rPr>
          <w:rFonts w:ascii="Times New Roman" w:hAnsi="Times New Roman" w:cs="Times New Roman"/>
        </w:rPr>
      </w:pPr>
    </w:p>
    <w:sectPr w:rsidR="005B7380" w:rsidRPr="005B7380" w:rsidSect="005B738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380"/>
    <w:rsid w:val="003B094A"/>
    <w:rsid w:val="005B7380"/>
    <w:rsid w:val="007523B2"/>
    <w:rsid w:val="00A17ACB"/>
    <w:rsid w:val="00D41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48F718"/>
  <w15:chartTrackingRefBased/>
  <w15:docId w15:val="{989F53E9-5333-384B-9CD5-790D12D42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73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73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73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73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73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73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73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73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73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73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73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73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73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73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73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73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73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73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73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73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73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73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73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73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73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73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73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73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73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joanneharoutounian/MusicLink/Annual%20Reports/Annual%20report%202022/income%20chart%20stuff/ML%20Income%20Chart%20-%20annual%20report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075177620792263"/>
          <c:y val="0.11661570962166315"/>
          <c:w val="0.81844503370240673"/>
          <c:h val="0.77652467831764926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393D-804E-A895-3F0CF67E31E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393D-804E-A895-3F0CF67E31E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393D-804E-A895-3F0CF67E31E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393D-804E-A895-3F0CF67E31E4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393D-804E-A895-3F0CF67E31E4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393D-804E-A895-3F0CF67E31E4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393D-804E-A895-3F0CF67E31E4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393D-804E-A895-3F0CF67E31E4}"/>
              </c:ext>
            </c:extLst>
          </c:dPt>
          <c:dLbls>
            <c:dLbl>
              <c:idx val="0"/>
              <c:spPr>
                <a:solidFill>
                  <a:sysClr val="window" lastClr="FFFFFF"/>
                </a:solidFill>
                <a:ln>
                  <a:solidFill>
                    <a:srgbClr val="4472C4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01-393D-804E-A895-3F0CF67E31E4}"/>
                </c:ext>
              </c:extLst>
            </c:dLbl>
            <c:dLbl>
              <c:idx val="1"/>
              <c:spPr>
                <a:solidFill>
                  <a:sysClr val="window" lastClr="FFFFFF"/>
                </a:solidFill>
                <a:ln>
                  <a:solidFill>
                    <a:srgbClr val="4472C4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03-393D-804E-A895-3F0CF67E31E4}"/>
                </c:ext>
              </c:extLst>
            </c:dLbl>
            <c:dLbl>
              <c:idx val="2"/>
              <c:spPr>
                <a:solidFill>
                  <a:sysClr val="window" lastClr="FFFFFF"/>
                </a:solidFill>
                <a:ln>
                  <a:solidFill>
                    <a:srgbClr val="4472C4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05-393D-804E-A895-3F0CF67E31E4}"/>
                </c:ext>
              </c:extLst>
            </c:dLbl>
            <c:dLbl>
              <c:idx val="3"/>
              <c:spPr>
                <a:solidFill>
                  <a:sysClr val="window" lastClr="FFFFFF"/>
                </a:solidFill>
                <a:ln>
                  <a:solidFill>
                    <a:srgbClr val="4472C4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07-393D-804E-A895-3F0CF67E31E4}"/>
                </c:ext>
              </c:extLst>
            </c:dLbl>
            <c:dLbl>
              <c:idx val="4"/>
              <c:spPr>
                <a:solidFill>
                  <a:sysClr val="window" lastClr="FFFFFF"/>
                </a:solidFill>
                <a:ln>
                  <a:solidFill>
                    <a:srgbClr val="4472C4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5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09-393D-804E-A895-3F0CF67E31E4}"/>
                </c:ext>
              </c:extLst>
            </c:dLbl>
            <c:dLbl>
              <c:idx val="5"/>
              <c:spPr>
                <a:solidFill>
                  <a:sysClr val="window" lastClr="FFFFFF"/>
                </a:solidFill>
                <a:ln>
                  <a:solidFill>
                    <a:srgbClr val="4472C4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0B-393D-804E-A895-3F0CF67E31E4}"/>
                </c:ext>
              </c:extLst>
            </c:dLbl>
            <c:dLbl>
              <c:idx val="6"/>
              <c:spPr>
                <a:solidFill>
                  <a:sysClr val="window" lastClr="FFFFFF"/>
                </a:solidFill>
                <a:ln>
                  <a:solidFill>
                    <a:srgbClr val="4472C4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1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0D-393D-804E-A895-3F0CF67E31E4}"/>
                </c:ext>
              </c:extLst>
            </c:dLbl>
            <c:dLbl>
              <c:idx val="7"/>
              <c:spPr>
                <a:solidFill>
                  <a:sysClr val="window" lastClr="FFFFFF"/>
                </a:solidFill>
                <a:ln>
                  <a:solidFill>
                    <a:srgbClr val="4472C4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accent2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0F-393D-804E-A895-3F0CF67E31E4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rgbClr val="4472C4"/>
                </a:solidFill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Sheet1!$A$1:$A$8</c:f>
              <c:strCache>
                <c:ptCount val="7"/>
                <c:pt idx="0">
                  <c:v>Internet contributions</c:v>
                </c:pt>
                <c:pt idx="1">
                  <c:v>Foundation contributions</c:v>
                </c:pt>
                <c:pt idx="2">
                  <c:v>Corporate contributions</c:v>
                </c:pt>
                <c:pt idx="3">
                  <c:v>Individual contributions</c:v>
                </c:pt>
                <c:pt idx="4">
                  <c:v>In-Kind Instruments</c:v>
                </c:pt>
                <c:pt idx="5">
                  <c:v>Investment Income</c:v>
                </c:pt>
                <c:pt idx="6">
                  <c:v>Fund raising events</c:v>
                </c:pt>
              </c:strCache>
            </c:strRef>
          </c:cat>
          <c:val>
            <c:numRef>
              <c:f>Sheet1!$B$1:$B$8</c:f>
              <c:numCache>
                <c:formatCode>"$"#,##0</c:formatCode>
                <c:ptCount val="8"/>
                <c:pt idx="0">
                  <c:v>2101</c:v>
                </c:pt>
                <c:pt idx="1">
                  <c:v>42868</c:v>
                </c:pt>
                <c:pt idx="2">
                  <c:v>7914</c:v>
                </c:pt>
                <c:pt idx="3">
                  <c:v>49469</c:v>
                </c:pt>
                <c:pt idx="4">
                  <c:v>26455</c:v>
                </c:pt>
                <c:pt idx="5">
                  <c:v>34212</c:v>
                </c:pt>
                <c:pt idx="6">
                  <c:v>19466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393D-804E-A895-3F0CF67E31E4}"/>
            </c:ext>
          </c:extLst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0.03333</cdr:x>
      <cdr:y>0.03171</cdr:y>
    </cdr:from>
    <cdr:to>
      <cdr:x>0.32</cdr:x>
      <cdr:y>0.14878</cdr:y>
    </cdr:to>
    <cdr:sp macro="" textlink="">
      <cdr:nvSpPr>
        <cdr:cNvPr id="2" name="Text Box 1"/>
        <cdr:cNvSpPr txBox="1"/>
      </cdr:nvSpPr>
      <cdr:spPr>
        <a:xfrm xmlns:a="http://schemas.openxmlformats.org/drawingml/2006/main">
          <a:off x="190500" y="165100"/>
          <a:ext cx="1638300" cy="6096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1200" b="1"/>
            <a:t>MUSICLINK</a:t>
          </a:r>
        </a:p>
        <a:p xmlns:a="http://schemas.openxmlformats.org/drawingml/2006/main">
          <a:r>
            <a:rPr lang="en-US" sz="1200" b="1"/>
            <a:t>INCOME</a:t>
          </a:r>
          <a:r>
            <a:rPr lang="en-US" sz="1200" b="1" baseline="0"/>
            <a:t> SOURCES</a:t>
          </a:r>
          <a:endParaRPr lang="en-US" sz="1200" b="1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Haroutounian</dc:creator>
  <cp:keywords/>
  <dc:description/>
  <cp:lastModifiedBy>Joanne Haroutounian</cp:lastModifiedBy>
  <cp:revision>2</cp:revision>
  <dcterms:created xsi:type="dcterms:W3CDTF">2024-10-24T20:10:00Z</dcterms:created>
  <dcterms:modified xsi:type="dcterms:W3CDTF">2024-10-24T20:33:00Z</dcterms:modified>
</cp:coreProperties>
</file>